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w:t>
      </w:r>
      <w:bookmarkStart w:id="0" w:name="_GoBack"/>
      <w:bookmarkEnd w:id="0"/>
      <w:r w:rsidRPr="00A75B4F">
        <w:rPr>
          <w:rFonts w:ascii="Times New Roman" w:hAnsi="Times New Roman" w:cs="Times New Roman"/>
          <w:b/>
          <w:sz w:val="36"/>
          <w:szCs w:val="28"/>
        </w:rPr>
        <w:t>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2"/>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 xml:space="preserve">реализации, утвержденное постановлением Правительства Российской Федерации от 9января2014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3"/>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Федерацииот 12</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D35ECD">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5"/>
      </w:r>
      <w:r w:rsidR="00D11CB6">
        <w:rPr>
          <w:rFonts w:ascii="Times New Roman" w:hAnsi="Times New Roman" w:cs="Times New Roman"/>
          <w:sz w:val="28"/>
          <w:szCs w:val="28"/>
        </w:rPr>
        <w:t>. Данные уведомления</w:t>
      </w:r>
      <w:r w:rsidR="00D35ECD">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D35ECD">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D35ECD">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D35ECD">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D35ECD">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D35ECD">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6"/>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D35ECD">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D35ECD">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D35ECD">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D35ECD">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D35ECD">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D35ECD">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D35ECD">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7"/>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8"/>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00D35ECD">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00D35ECD">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9"/>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10"/>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D35ECD">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Приэтомподарокдолженбытьсданнепозднее5рабочих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1"/>
      </w:r>
      <w:r w:rsidR="00AD0C18" w:rsidRPr="00A060B9">
        <w:rPr>
          <w:rFonts w:ascii="Times New Roman" w:hAnsi="Times New Roman" w:cs="Times New Roman"/>
          <w:sz w:val="28"/>
          <w:szCs w:val="28"/>
        </w:rPr>
        <w:t>.</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lastRenderedPageBreak/>
        <w:t xml:space="preserve">материально ответственное лицо </w:t>
      </w:r>
      <w:r w:rsidR="00327300" w:rsidRPr="00A060B9">
        <w:rPr>
          <w:rFonts w:ascii="Times New Roman" w:hAnsi="Times New Roman" w:cs="Times New Roman"/>
          <w:sz w:val="28"/>
          <w:szCs w:val="28"/>
        </w:rPr>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2"/>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3"/>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D35ECD">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D35ECD">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D35ECD">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D35ECD">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4"/>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5"/>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6"/>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D35ECD">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8"/>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9"/>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20"/>
      </w:r>
      <w:r w:rsidR="0036561A" w:rsidRPr="00A060B9">
        <w:rPr>
          <w:rFonts w:ascii="Times New Roman" w:hAnsi="Times New Roman" w:cs="Times New Roman"/>
          <w:sz w:val="28"/>
          <w:szCs w:val="28"/>
        </w:rPr>
        <w:t>.</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1"/>
      </w:r>
      <w:r w:rsidR="006F2FDA" w:rsidRPr="00A060B9">
        <w:rPr>
          <w:rFonts w:ascii="Times New Roman" w:hAnsi="Times New Roman" w:cs="Times New Roman"/>
          <w:sz w:val="28"/>
          <w:szCs w:val="28"/>
        </w:rPr>
        <w:t>.</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72A" w:rsidRDefault="0009272A" w:rsidP="00020BF3">
      <w:r>
        <w:separator/>
      </w:r>
    </w:p>
  </w:endnote>
  <w:endnote w:type="continuationSeparator" w:id="1">
    <w:p w:rsidR="0009272A" w:rsidRDefault="0009272A" w:rsidP="00020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72A" w:rsidRDefault="0009272A" w:rsidP="00020BF3">
      <w:r>
        <w:separator/>
      </w:r>
    </w:p>
  </w:footnote>
  <w:footnote w:type="continuationSeparator" w:id="1">
    <w:p w:rsidR="0009272A" w:rsidRDefault="0009272A" w:rsidP="00020BF3">
      <w:r>
        <w:continuationSeparator/>
      </w:r>
    </w:p>
  </w:footnote>
  <w:footnote w:id="2">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Pr>
          <w:rFonts w:ascii="Times New Roman" w:hAnsi="Times New Roman" w:cs="Times New Roman"/>
        </w:rPr>
        <w:t>Часть вторая с</w:t>
      </w:r>
      <w:r w:rsidRPr="00B9454D">
        <w:rPr>
          <w:rFonts w:ascii="Times New Roman" w:hAnsi="Times New Roman" w:cs="Times New Roman"/>
        </w:rPr>
        <w:t>татья 575</w:t>
      </w:r>
    </w:p>
  </w:footnote>
  <w:footnote w:id="3">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5">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6">
    <w:p w:rsidR="00332863" w:rsidRDefault="00332863">
      <w:pPr>
        <w:pStyle w:val="ad"/>
      </w:pPr>
      <w:r>
        <w:rPr>
          <w:rStyle w:val="af"/>
        </w:rPr>
        <w:footnoteRef/>
      </w:r>
      <w:r w:rsidRPr="002D3D66">
        <w:rPr>
          <w:rFonts w:ascii="Times New Roman" w:hAnsi="Times New Roman" w:cs="Times New Roman"/>
        </w:rPr>
        <w:t>Пункт 5 Типового положения</w:t>
      </w:r>
    </w:p>
  </w:footnote>
  <w:footnote w:id="7">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9">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0">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1">
    <w:p w:rsidR="00332863" w:rsidRDefault="00332863" w:rsidP="004552D8">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2">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3">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5">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6">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rsidRPr="002D3D66">
        <w:rPr>
          <w:rFonts w:ascii="Times New Roman" w:hAnsi="Times New Roman" w:cs="Times New Roman"/>
        </w:rPr>
        <w:t>Пункт</w:t>
      </w:r>
      <w:r>
        <w:rPr>
          <w:rFonts w:ascii="Times New Roman" w:hAnsi="Times New Roman" w:cs="Times New Roman"/>
        </w:rPr>
        <w:t xml:space="preserve">ы15, 17 </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1">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341287"/>
      <w:docPartObj>
        <w:docPartGallery w:val="Page Numbers (Top of Page)"/>
        <w:docPartUnique/>
      </w:docPartObj>
    </w:sdtPr>
    <w:sdtEndPr>
      <w:rPr>
        <w:sz w:val="28"/>
        <w:szCs w:val="28"/>
      </w:rPr>
    </w:sdtEndPr>
    <w:sdtContent>
      <w:p w:rsidR="00332863" w:rsidRDefault="00B254A9"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D35ECD">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272A"/>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B47ED"/>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65D6"/>
    <w:rsid w:val="00AC709D"/>
    <w:rsid w:val="00AD0C18"/>
    <w:rsid w:val="00AD46D2"/>
    <w:rsid w:val="00AD5487"/>
    <w:rsid w:val="00AD584E"/>
    <w:rsid w:val="00AD6090"/>
    <w:rsid w:val="00AF13E7"/>
    <w:rsid w:val="00AF65C0"/>
    <w:rsid w:val="00B03E48"/>
    <w:rsid w:val="00B069D0"/>
    <w:rsid w:val="00B11061"/>
    <w:rsid w:val="00B25477"/>
    <w:rsid w:val="00B254A9"/>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35ECD"/>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r="http://schemas.openxmlformats.org/officeDocument/2006/relationships" xmlns:w="http://schemas.openxmlformats.org/wordprocessingml/2006/main">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7B800-EE01-404C-921A-5A9FBAFB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5090</Words>
  <Characters>29015</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Алымова</cp:lastModifiedBy>
  <cp:revision>4</cp:revision>
  <cp:lastPrinted>2020-03-20T11:44:00Z</cp:lastPrinted>
  <dcterms:created xsi:type="dcterms:W3CDTF">2020-03-20T11:45:00Z</dcterms:created>
  <dcterms:modified xsi:type="dcterms:W3CDTF">2022-04-18T09:23:00Z</dcterms:modified>
</cp:coreProperties>
</file>